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AE" w:rsidRPr="0046545B" w:rsidRDefault="006D1FAE" w:rsidP="00E45D1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</w:rPr>
      </w:pPr>
      <w:r w:rsidRPr="0046545B">
        <w:rPr>
          <w:rFonts w:ascii="Bookman Old Style" w:hAnsi="Bookman Old Style" w:cs="Times New Roman"/>
          <w:b/>
          <w:bCs/>
        </w:rPr>
        <w:t xml:space="preserve">UCHWAŁA NR </w:t>
      </w:r>
      <w:r w:rsidR="00FD4CC2">
        <w:rPr>
          <w:rFonts w:ascii="Bookman Old Style" w:hAnsi="Bookman Old Style" w:cs="Times New Roman"/>
          <w:b/>
          <w:bCs/>
        </w:rPr>
        <w:t>….</w:t>
      </w:r>
    </w:p>
    <w:p w:rsidR="006D1FAE" w:rsidRPr="0046545B" w:rsidRDefault="006D1FAE" w:rsidP="00E45D1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</w:rPr>
      </w:pPr>
      <w:r w:rsidRPr="0046545B">
        <w:rPr>
          <w:rFonts w:ascii="Bookman Old Style" w:hAnsi="Bookman Old Style" w:cs="Times New Roman"/>
          <w:b/>
          <w:bCs/>
        </w:rPr>
        <w:t>RADY MIEJSKIEJ W ZŁOTYM STOKU</w:t>
      </w:r>
    </w:p>
    <w:p w:rsidR="006D1FAE" w:rsidRPr="00FD4CC2" w:rsidRDefault="006D1FAE" w:rsidP="00E45D1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</w:rPr>
      </w:pPr>
      <w:r w:rsidRPr="00FD4CC2">
        <w:rPr>
          <w:rFonts w:ascii="Bookman Old Style" w:hAnsi="Bookman Old Style" w:cs="Times New Roman"/>
          <w:b/>
        </w:rPr>
        <w:t>z dnia</w:t>
      </w:r>
      <w:r w:rsidR="00FD4CC2" w:rsidRPr="00FD4CC2">
        <w:rPr>
          <w:rFonts w:ascii="Bookman Old Style" w:hAnsi="Bookman Old Style" w:cs="Times New Roman"/>
          <w:b/>
        </w:rPr>
        <w:t>……………</w:t>
      </w:r>
    </w:p>
    <w:p w:rsidR="00FD4CC2" w:rsidRPr="0046545B" w:rsidRDefault="00FD4CC2" w:rsidP="00E45D1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</w:rPr>
      </w:pPr>
    </w:p>
    <w:p w:rsidR="00BD27B9" w:rsidRPr="0046545B" w:rsidRDefault="00580D3B" w:rsidP="00FD4CC2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</w:rPr>
      </w:pPr>
      <w:r w:rsidRPr="0046545B">
        <w:rPr>
          <w:rFonts w:ascii="Bookman Old Style" w:hAnsi="Bookman Old Style" w:cs="Times New Roman"/>
          <w:b/>
          <w:bCs/>
        </w:rPr>
        <w:t>w sprawie wyrażenia opinii do projektowanej zmiany granic obszaru Natura</w:t>
      </w:r>
      <w:r w:rsidR="00FD4CC2">
        <w:rPr>
          <w:rFonts w:ascii="Bookman Old Style" w:hAnsi="Bookman Old Style" w:cs="Times New Roman"/>
          <w:b/>
          <w:bCs/>
        </w:rPr>
        <w:t> </w:t>
      </w:r>
      <w:r w:rsidRPr="0046545B">
        <w:rPr>
          <w:rFonts w:ascii="Bookman Old Style" w:hAnsi="Bookman Old Style" w:cs="Times New Roman"/>
          <w:b/>
          <w:bCs/>
        </w:rPr>
        <w:t>2000, położonego na terenie gminy Złoty Stok, oznaczonego kodem PLH020007 Kopalnie w Złotym Stoku</w:t>
      </w:r>
    </w:p>
    <w:p w:rsidR="00580D3B" w:rsidRPr="0046545B" w:rsidRDefault="00580D3B" w:rsidP="00E45D1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6D1FAE" w:rsidRPr="0046545B" w:rsidRDefault="006D1FAE" w:rsidP="00E45D1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</w:rPr>
      </w:pPr>
    </w:p>
    <w:p w:rsidR="006D1FAE" w:rsidRDefault="006D1FAE" w:rsidP="00E45D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man Old Style" w:hAnsi="Bookman Old Style" w:cs="Times New Roman"/>
          <w:b/>
          <w:bCs/>
        </w:rPr>
      </w:pPr>
      <w:r w:rsidRPr="0046545B">
        <w:rPr>
          <w:rFonts w:ascii="Bookman Old Style" w:hAnsi="Bookman Old Style" w:cs="Times New Roman"/>
        </w:rPr>
        <w:t>Na podstawie art. 18 ust. 2 pkt 15 ustawy z dnia 8 marca 1990 r. o</w:t>
      </w:r>
      <w:r w:rsidR="0046545B">
        <w:rPr>
          <w:rFonts w:ascii="Bookman Old Style" w:hAnsi="Bookman Old Style" w:cs="Times New Roman"/>
        </w:rPr>
        <w:t> </w:t>
      </w:r>
      <w:r w:rsidRPr="0046545B">
        <w:rPr>
          <w:rFonts w:ascii="Bookman Old Style" w:hAnsi="Bookman Old Style" w:cs="Times New Roman"/>
        </w:rPr>
        <w:t>samorządzie gminnym (Dz. U. z 20</w:t>
      </w:r>
      <w:r w:rsidR="00A421CB" w:rsidRPr="0046545B">
        <w:rPr>
          <w:rFonts w:ascii="Bookman Old Style" w:hAnsi="Bookman Old Style" w:cs="Times New Roman"/>
        </w:rPr>
        <w:t>16</w:t>
      </w:r>
      <w:r w:rsidRPr="0046545B">
        <w:rPr>
          <w:rFonts w:ascii="Bookman Old Style" w:hAnsi="Bookman Old Style" w:cs="Times New Roman"/>
        </w:rPr>
        <w:t xml:space="preserve"> r. poz. </w:t>
      </w:r>
      <w:r w:rsidR="00A421CB" w:rsidRPr="0046545B">
        <w:rPr>
          <w:rFonts w:ascii="Bookman Old Style" w:hAnsi="Bookman Old Style" w:cs="Times New Roman"/>
        </w:rPr>
        <w:t>446</w:t>
      </w:r>
      <w:r w:rsidRPr="0046545B">
        <w:rPr>
          <w:rFonts w:ascii="Bookman Old Style" w:hAnsi="Bookman Old Style" w:cs="Times New Roman"/>
        </w:rPr>
        <w:t xml:space="preserve">) oraz </w:t>
      </w:r>
      <w:r w:rsidR="00A421CB" w:rsidRPr="0046545B">
        <w:rPr>
          <w:rFonts w:ascii="Bookman Old Style" w:hAnsi="Bookman Old Style" w:cs="Times New Roman"/>
        </w:rPr>
        <w:t>art. 27 ust. 2 ustawy z dnia 16 kwietnia 2004 r. o ochronie przyrody (</w:t>
      </w:r>
      <w:r w:rsidR="00A421CB" w:rsidRPr="0046545B">
        <w:rPr>
          <w:rFonts w:ascii="Bookman Old Style" w:hAnsi="Bookman Old Style" w:cs="Times New Roman"/>
          <w:bCs/>
        </w:rPr>
        <w:t>Dz. U. z 2015 r. poz. 1651 ze zm.)</w:t>
      </w:r>
      <w:r w:rsidR="00A421CB" w:rsidRPr="0046545B">
        <w:rPr>
          <w:rFonts w:ascii="Bookman Old Style" w:hAnsi="Bookman Old Style" w:cs="Times New Roman"/>
        </w:rPr>
        <w:t xml:space="preserve"> </w:t>
      </w:r>
      <w:r w:rsidRPr="0046545B">
        <w:rPr>
          <w:rFonts w:ascii="Bookman Old Style" w:hAnsi="Bookman Old Style" w:cs="Times New Roman"/>
          <w:b/>
          <w:bCs/>
        </w:rPr>
        <w:t>Rada Miejska w Złotym Stoku uchwala, co następuje:</w:t>
      </w:r>
    </w:p>
    <w:p w:rsidR="00FD4CC2" w:rsidRPr="0046545B" w:rsidRDefault="00FD4CC2" w:rsidP="00E45D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man Old Style" w:hAnsi="Bookman Old Style" w:cs="Times New Roman"/>
          <w:b/>
          <w:bCs/>
        </w:rPr>
      </w:pPr>
    </w:p>
    <w:p w:rsidR="00833482" w:rsidRDefault="006D1FAE" w:rsidP="00E45D17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Bookman Old Style" w:hAnsi="Bookman Old Style" w:cs="Times New Roman"/>
          <w:bCs/>
        </w:rPr>
      </w:pPr>
      <w:r w:rsidRPr="0046545B">
        <w:rPr>
          <w:rFonts w:ascii="Bookman Old Style" w:hAnsi="Bookman Old Style" w:cs="Times New Roman"/>
          <w:b/>
          <w:bCs/>
        </w:rPr>
        <w:t xml:space="preserve">§ 1. </w:t>
      </w:r>
      <w:r w:rsidR="00A421CB" w:rsidRPr="0046545B">
        <w:rPr>
          <w:rFonts w:ascii="Bookman Old Style" w:hAnsi="Bookman Old Style" w:cs="Times New Roman"/>
          <w:bCs/>
        </w:rPr>
        <w:t>Wyraża się negatywn</w:t>
      </w:r>
      <w:r w:rsidR="0046545B">
        <w:rPr>
          <w:rFonts w:ascii="Bookman Old Style" w:hAnsi="Bookman Old Style" w:cs="Times New Roman"/>
          <w:bCs/>
        </w:rPr>
        <w:t>ą</w:t>
      </w:r>
      <w:r w:rsidR="00A421CB" w:rsidRPr="0046545B">
        <w:rPr>
          <w:rFonts w:ascii="Bookman Old Style" w:hAnsi="Bookman Old Style" w:cs="Times New Roman"/>
          <w:bCs/>
        </w:rPr>
        <w:t xml:space="preserve"> opinię do projektowanej zmiany grani</w:t>
      </w:r>
      <w:r w:rsidR="00833482" w:rsidRPr="0046545B">
        <w:rPr>
          <w:rFonts w:ascii="Bookman Old Style" w:hAnsi="Bookman Old Style" w:cs="Times New Roman"/>
          <w:bCs/>
        </w:rPr>
        <w:t>c obszaru Natura 2000, położonego na terenie gminy Złoty Stok, oznaczonego kodem PLH020007 Kopalnie w Złotym Stoku.</w:t>
      </w:r>
    </w:p>
    <w:p w:rsidR="00FD4CC2" w:rsidRPr="0046545B" w:rsidRDefault="00FD4CC2" w:rsidP="00E45D17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Bookman Old Style" w:hAnsi="Bookman Old Style" w:cs="Times New Roman"/>
          <w:bCs/>
        </w:rPr>
      </w:pPr>
    </w:p>
    <w:p w:rsidR="00982ECD" w:rsidRDefault="00982ECD" w:rsidP="00E45D17">
      <w:pPr>
        <w:autoSpaceDE w:val="0"/>
        <w:autoSpaceDN w:val="0"/>
        <w:adjustRightInd w:val="0"/>
        <w:spacing w:after="0" w:line="360" w:lineRule="auto"/>
        <w:ind w:firstLine="426"/>
        <w:rPr>
          <w:rFonts w:ascii="Bookman Old Style" w:hAnsi="Bookman Old Style" w:cs="Times New Roman"/>
        </w:rPr>
      </w:pPr>
      <w:r w:rsidRPr="0046545B">
        <w:rPr>
          <w:rFonts w:ascii="Bookman Old Style" w:hAnsi="Bookman Old Style" w:cs="Times New Roman"/>
          <w:b/>
        </w:rPr>
        <w:t xml:space="preserve">§ 2. </w:t>
      </w:r>
      <w:r w:rsidR="00833482" w:rsidRPr="0046545B">
        <w:rPr>
          <w:rFonts w:ascii="Bookman Old Style" w:hAnsi="Bookman Old Style" w:cs="Times New Roman"/>
        </w:rPr>
        <w:t>Opinia, o której mowa w § 1 stanowi załącznik do niniejszej uchwały.</w:t>
      </w:r>
    </w:p>
    <w:p w:rsidR="00FD4CC2" w:rsidRPr="0046545B" w:rsidRDefault="00FD4CC2" w:rsidP="00E45D17">
      <w:pPr>
        <w:autoSpaceDE w:val="0"/>
        <w:autoSpaceDN w:val="0"/>
        <w:adjustRightInd w:val="0"/>
        <w:spacing w:after="0" w:line="360" w:lineRule="auto"/>
        <w:ind w:firstLine="426"/>
        <w:rPr>
          <w:rFonts w:ascii="Bookman Old Style" w:hAnsi="Bookman Old Style" w:cs="Times New Roman"/>
          <w:b/>
        </w:rPr>
      </w:pPr>
    </w:p>
    <w:p w:rsidR="006D1FAE" w:rsidRPr="0046545B" w:rsidRDefault="00E3120D" w:rsidP="00E45D17">
      <w:pPr>
        <w:autoSpaceDE w:val="0"/>
        <w:autoSpaceDN w:val="0"/>
        <w:adjustRightInd w:val="0"/>
        <w:spacing w:after="0" w:line="360" w:lineRule="auto"/>
        <w:ind w:firstLine="426"/>
        <w:rPr>
          <w:rFonts w:ascii="Bookman Old Style" w:hAnsi="Bookman Old Style" w:cs="Times New Roman"/>
        </w:rPr>
      </w:pPr>
      <w:r w:rsidRPr="0046545B">
        <w:rPr>
          <w:rFonts w:ascii="Bookman Old Style" w:hAnsi="Bookman Old Style" w:cs="Times New Roman"/>
          <w:b/>
        </w:rPr>
        <w:t xml:space="preserve">§ </w:t>
      </w:r>
      <w:r w:rsidR="00982ECD" w:rsidRPr="0046545B">
        <w:rPr>
          <w:rFonts w:ascii="Bookman Old Style" w:hAnsi="Bookman Old Style" w:cs="Times New Roman"/>
          <w:b/>
        </w:rPr>
        <w:t>3</w:t>
      </w:r>
      <w:r w:rsidRPr="0046545B">
        <w:rPr>
          <w:rFonts w:ascii="Bookman Old Style" w:hAnsi="Bookman Old Style" w:cs="Times New Roman"/>
          <w:b/>
        </w:rPr>
        <w:t>.</w:t>
      </w:r>
      <w:r w:rsidRPr="0046545B">
        <w:rPr>
          <w:rFonts w:ascii="Bookman Old Style" w:hAnsi="Bookman Old Style" w:cs="Times New Roman"/>
        </w:rPr>
        <w:t xml:space="preserve"> </w:t>
      </w:r>
      <w:r w:rsidR="006D1FAE" w:rsidRPr="0046545B">
        <w:rPr>
          <w:rFonts w:ascii="Bookman Old Style" w:hAnsi="Bookman Old Style" w:cs="Times New Roman"/>
        </w:rPr>
        <w:t xml:space="preserve">Uchwała wchodzi w życie </w:t>
      </w:r>
      <w:r w:rsidR="00833482" w:rsidRPr="0046545B">
        <w:rPr>
          <w:rFonts w:ascii="Bookman Old Style" w:hAnsi="Bookman Old Style" w:cs="Times New Roman"/>
        </w:rPr>
        <w:t>z dniem podjęcia</w:t>
      </w:r>
      <w:r w:rsidR="006D1FAE" w:rsidRPr="0046545B">
        <w:rPr>
          <w:rFonts w:ascii="Bookman Old Style" w:hAnsi="Bookman Old Style" w:cs="Times New Roman"/>
        </w:rPr>
        <w:t>.</w:t>
      </w:r>
    </w:p>
    <w:p w:rsidR="00982ECD" w:rsidRPr="0046545B" w:rsidRDefault="00982ECD" w:rsidP="00931FC8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 w:cs="Times New Roman"/>
        </w:rPr>
      </w:pPr>
    </w:p>
    <w:p w:rsidR="00982ECD" w:rsidRPr="0046545B" w:rsidRDefault="00982ECD" w:rsidP="00931FC8">
      <w:pPr>
        <w:autoSpaceDE w:val="0"/>
        <w:autoSpaceDN w:val="0"/>
        <w:adjustRightInd w:val="0"/>
        <w:spacing w:after="0" w:line="240" w:lineRule="auto"/>
        <w:ind w:left="5664"/>
        <w:rPr>
          <w:rFonts w:ascii="Bookman Old Style" w:hAnsi="Bookman Old Style" w:cs="Times New Roman"/>
          <w:b/>
          <w:bCs/>
        </w:rPr>
      </w:pPr>
    </w:p>
    <w:p w:rsidR="00982ECD" w:rsidRPr="0046545B" w:rsidRDefault="00982ECD" w:rsidP="00931FC8">
      <w:pPr>
        <w:autoSpaceDE w:val="0"/>
        <w:autoSpaceDN w:val="0"/>
        <w:adjustRightInd w:val="0"/>
        <w:spacing w:after="0" w:line="240" w:lineRule="auto"/>
        <w:ind w:left="5664"/>
        <w:rPr>
          <w:rFonts w:ascii="Bookman Old Style" w:hAnsi="Bookman Old Style" w:cs="Times New Roman"/>
          <w:b/>
          <w:bCs/>
        </w:rPr>
      </w:pPr>
    </w:p>
    <w:p w:rsidR="00982ECD" w:rsidRPr="0046545B" w:rsidRDefault="00982ECD" w:rsidP="00931FC8">
      <w:pPr>
        <w:autoSpaceDE w:val="0"/>
        <w:autoSpaceDN w:val="0"/>
        <w:adjustRightInd w:val="0"/>
        <w:spacing w:after="0" w:line="240" w:lineRule="auto"/>
        <w:ind w:left="5664"/>
        <w:rPr>
          <w:rFonts w:ascii="Bookman Old Style" w:hAnsi="Bookman Old Style" w:cs="Times New Roman"/>
          <w:b/>
          <w:bCs/>
        </w:rPr>
      </w:pPr>
    </w:p>
    <w:p w:rsidR="00982ECD" w:rsidRPr="0046545B" w:rsidRDefault="00982ECD" w:rsidP="00931FC8">
      <w:pPr>
        <w:autoSpaceDE w:val="0"/>
        <w:autoSpaceDN w:val="0"/>
        <w:adjustRightInd w:val="0"/>
        <w:spacing w:after="0" w:line="240" w:lineRule="auto"/>
        <w:ind w:left="5664"/>
        <w:rPr>
          <w:rFonts w:ascii="Bookman Old Style" w:hAnsi="Bookman Old Style" w:cs="Times New Roman"/>
          <w:b/>
          <w:bCs/>
        </w:rPr>
      </w:pPr>
    </w:p>
    <w:p w:rsidR="00982ECD" w:rsidRPr="0046545B" w:rsidRDefault="00982ECD" w:rsidP="00931FC8">
      <w:pPr>
        <w:autoSpaceDE w:val="0"/>
        <w:autoSpaceDN w:val="0"/>
        <w:adjustRightInd w:val="0"/>
        <w:spacing w:after="0" w:line="240" w:lineRule="auto"/>
        <w:ind w:left="5664"/>
        <w:rPr>
          <w:rFonts w:ascii="Bookman Old Style" w:hAnsi="Bookman Old Style" w:cs="Times New Roman"/>
          <w:b/>
          <w:bCs/>
        </w:rPr>
      </w:pPr>
    </w:p>
    <w:p w:rsidR="00982ECD" w:rsidRPr="0046545B" w:rsidRDefault="00982ECD" w:rsidP="00931FC8">
      <w:pPr>
        <w:autoSpaceDE w:val="0"/>
        <w:autoSpaceDN w:val="0"/>
        <w:adjustRightInd w:val="0"/>
        <w:spacing w:after="0" w:line="240" w:lineRule="auto"/>
        <w:ind w:left="5664"/>
        <w:rPr>
          <w:rFonts w:ascii="Bookman Old Style" w:hAnsi="Bookman Old Style" w:cs="Times New Roman"/>
          <w:b/>
          <w:bCs/>
        </w:rPr>
      </w:pPr>
    </w:p>
    <w:p w:rsidR="00982ECD" w:rsidRPr="0046545B" w:rsidRDefault="00982ECD" w:rsidP="00931FC8">
      <w:pPr>
        <w:autoSpaceDE w:val="0"/>
        <w:autoSpaceDN w:val="0"/>
        <w:adjustRightInd w:val="0"/>
        <w:spacing w:after="0" w:line="240" w:lineRule="auto"/>
        <w:ind w:left="5664"/>
        <w:rPr>
          <w:rFonts w:ascii="Bookman Old Style" w:hAnsi="Bookman Old Style" w:cs="Times New Roman"/>
          <w:b/>
          <w:bCs/>
        </w:rPr>
      </w:pPr>
    </w:p>
    <w:p w:rsidR="00982ECD" w:rsidRPr="0046545B" w:rsidRDefault="00982ECD" w:rsidP="00931FC8">
      <w:pPr>
        <w:autoSpaceDE w:val="0"/>
        <w:autoSpaceDN w:val="0"/>
        <w:adjustRightInd w:val="0"/>
        <w:spacing w:after="0" w:line="240" w:lineRule="auto"/>
        <w:ind w:left="5664"/>
        <w:rPr>
          <w:rFonts w:ascii="Bookman Old Style" w:hAnsi="Bookman Old Style" w:cs="Times New Roman"/>
          <w:b/>
          <w:bCs/>
        </w:rPr>
      </w:pPr>
    </w:p>
    <w:p w:rsidR="00982ECD" w:rsidRPr="0046545B" w:rsidRDefault="00982ECD" w:rsidP="00931FC8">
      <w:pPr>
        <w:autoSpaceDE w:val="0"/>
        <w:autoSpaceDN w:val="0"/>
        <w:adjustRightInd w:val="0"/>
        <w:spacing w:after="0" w:line="240" w:lineRule="auto"/>
        <w:ind w:left="5664"/>
        <w:rPr>
          <w:rFonts w:ascii="Bookman Old Style" w:hAnsi="Bookman Old Style" w:cs="Times New Roman"/>
          <w:b/>
          <w:bCs/>
        </w:rPr>
      </w:pPr>
    </w:p>
    <w:p w:rsidR="00982ECD" w:rsidRPr="0046545B" w:rsidRDefault="00982ECD" w:rsidP="00931FC8">
      <w:pPr>
        <w:autoSpaceDE w:val="0"/>
        <w:autoSpaceDN w:val="0"/>
        <w:adjustRightInd w:val="0"/>
        <w:spacing w:after="0" w:line="240" w:lineRule="auto"/>
        <w:ind w:left="5664"/>
        <w:rPr>
          <w:rFonts w:ascii="Bookman Old Style" w:hAnsi="Bookman Old Style" w:cs="Times New Roman"/>
          <w:b/>
          <w:bCs/>
        </w:rPr>
      </w:pPr>
    </w:p>
    <w:p w:rsidR="00982ECD" w:rsidRPr="0046545B" w:rsidRDefault="00982ECD" w:rsidP="00931FC8">
      <w:pPr>
        <w:autoSpaceDE w:val="0"/>
        <w:autoSpaceDN w:val="0"/>
        <w:adjustRightInd w:val="0"/>
        <w:spacing w:after="0" w:line="240" w:lineRule="auto"/>
        <w:ind w:left="5664"/>
        <w:rPr>
          <w:rFonts w:ascii="Bookman Old Style" w:hAnsi="Bookman Old Style" w:cs="Times New Roman"/>
          <w:b/>
          <w:bCs/>
        </w:rPr>
      </w:pPr>
    </w:p>
    <w:p w:rsidR="00982ECD" w:rsidRPr="0046545B" w:rsidRDefault="00982ECD" w:rsidP="00931FC8">
      <w:pPr>
        <w:autoSpaceDE w:val="0"/>
        <w:autoSpaceDN w:val="0"/>
        <w:adjustRightInd w:val="0"/>
        <w:spacing w:after="0" w:line="240" w:lineRule="auto"/>
        <w:ind w:left="5664"/>
        <w:rPr>
          <w:rFonts w:ascii="Bookman Old Style" w:hAnsi="Bookman Old Style" w:cs="Times New Roman"/>
          <w:b/>
          <w:bCs/>
        </w:rPr>
      </w:pPr>
    </w:p>
    <w:p w:rsidR="00982ECD" w:rsidRPr="0046545B" w:rsidRDefault="00982ECD" w:rsidP="00931FC8">
      <w:pPr>
        <w:autoSpaceDE w:val="0"/>
        <w:autoSpaceDN w:val="0"/>
        <w:adjustRightInd w:val="0"/>
        <w:spacing w:after="0" w:line="240" w:lineRule="auto"/>
        <w:ind w:left="5664"/>
        <w:rPr>
          <w:rFonts w:ascii="Bookman Old Style" w:hAnsi="Bookman Old Style" w:cs="Times New Roman"/>
          <w:b/>
          <w:bCs/>
        </w:rPr>
      </w:pPr>
    </w:p>
    <w:p w:rsidR="00982ECD" w:rsidRPr="0046545B" w:rsidRDefault="00982ECD" w:rsidP="00931FC8">
      <w:pPr>
        <w:autoSpaceDE w:val="0"/>
        <w:autoSpaceDN w:val="0"/>
        <w:adjustRightInd w:val="0"/>
        <w:spacing w:after="0" w:line="240" w:lineRule="auto"/>
        <w:ind w:left="5664"/>
        <w:rPr>
          <w:rFonts w:ascii="Bookman Old Style" w:hAnsi="Bookman Old Style" w:cs="Times New Roman"/>
          <w:b/>
          <w:bCs/>
        </w:rPr>
      </w:pPr>
    </w:p>
    <w:p w:rsidR="00982ECD" w:rsidRPr="0046545B" w:rsidRDefault="00982ECD" w:rsidP="00931FC8">
      <w:pPr>
        <w:autoSpaceDE w:val="0"/>
        <w:autoSpaceDN w:val="0"/>
        <w:adjustRightInd w:val="0"/>
        <w:spacing w:after="0" w:line="240" w:lineRule="auto"/>
        <w:ind w:left="5664"/>
        <w:rPr>
          <w:rFonts w:ascii="Bookman Old Style" w:hAnsi="Bookman Old Style" w:cs="Times New Roman"/>
          <w:b/>
          <w:bCs/>
        </w:rPr>
      </w:pPr>
    </w:p>
    <w:p w:rsidR="00982ECD" w:rsidRPr="0046545B" w:rsidRDefault="00982ECD" w:rsidP="00931FC8">
      <w:pPr>
        <w:autoSpaceDE w:val="0"/>
        <w:autoSpaceDN w:val="0"/>
        <w:adjustRightInd w:val="0"/>
        <w:spacing w:after="0" w:line="240" w:lineRule="auto"/>
        <w:ind w:left="5664"/>
        <w:rPr>
          <w:rFonts w:ascii="Bookman Old Style" w:hAnsi="Bookman Old Style" w:cs="Times New Roman"/>
          <w:b/>
          <w:bCs/>
        </w:rPr>
      </w:pPr>
    </w:p>
    <w:p w:rsidR="00982ECD" w:rsidRPr="0046545B" w:rsidRDefault="00982ECD" w:rsidP="00931FC8">
      <w:pPr>
        <w:autoSpaceDE w:val="0"/>
        <w:autoSpaceDN w:val="0"/>
        <w:adjustRightInd w:val="0"/>
        <w:spacing w:after="0" w:line="240" w:lineRule="auto"/>
        <w:ind w:left="5664"/>
        <w:rPr>
          <w:rFonts w:ascii="Bookman Old Style" w:hAnsi="Bookman Old Style" w:cs="Times New Roman"/>
          <w:b/>
          <w:bCs/>
        </w:rPr>
      </w:pPr>
    </w:p>
    <w:p w:rsidR="00982ECD" w:rsidRPr="0046545B" w:rsidRDefault="00982ECD" w:rsidP="00931FC8">
      <w:pPr>
        <w:autoSpaceDE w:val="0"/>
        <w:autoSpaceDN w:val="0"/>
        <w:adjustRightInd w:val="0"/>
        <w:spacing w:after="0" w:line="240" w:lineRule="auto"/>
        <w:ind w:left="5664"/>
        <w:rPr>
          <w:rFonts w:ascii="Bookman Old Style" w:hAnsi="Bookman Old Style" w:cs="Times New Roman"/>
          <w:b/>
          <w:bCs/>
        </w:rPr>
      </w:pPr>
    </w:p>
    <w:p w:rsidR="00833482" w:rsidRPr="0046545B" w:rsidRDefault="00833482" w:rsidP="00931FC8">
      <w:pPr>
        <w:autoSpaceDE w:val="0"/>
        <w:autoSpaceDN w:val="0"/>
        <w:adjustRightInd w:val="0"/>
        <w:spacing w:after="0" w:line="240" w:lineRule="auto"/>
        <w:ind w:left="5664"/>
        <w:rPr>
          <w:rFonts w:ascii="Bookman Old Style" w:hAnsi="Bookman Old Style" w:cs="Times New Roman"/>
          <w:b/>
          <w:bCs/>
        </w:rPr>
      </w:pPr>
    </w:p>
    <w:p w:rsidR="00833482" w:rsidRPr="0046545B" w:rsidRDefault="00833482" w:rsidP="00931FC8">
      <w:pPr>
        <w:autoSpaceDE w:val="0"/>
        <w:autoSpaceDN w:val="0"/>
        <w:adjustRightInd w:val="0"/>
        <w:spacing w:after="0" w:line="240" w:lineRule="auto"/>
        <w:ind w:left="5664"/>
        <w:rPr>
          <w:rFonts w:ascii="Bookman Old Style" w:hAnsi="Bookman Old Style" w:cs="Times New Roman"/>
          <w:b/>
          <w:bCs/>
        </w:rPr>
      </w:pPr>
    </w:p>
    <w:p w:rsidR="00833482" w:rsidRPr="0046545B" w:rsidRDefault="00833482" w:rsidP="00931FC8">
      <w:pPr>
        <w:autoSpaceDE w:val="0"/>
        <w:autoSpaceDN w:val="0"/>
        <w:adjustRightInd w:val="0"/>
        <w:spacing w:after="0" w:line="240" w:lineRule="auto"/>
        <w:ind w:left="5664"/>
        <w:rPr>
          <w:rFonts w:ascii="Bookman Old Style" w:hAnsi="Bookman Old Style" w:cs="Times New Roman"/>
          <w:b/>
          <w:bCs/>
        </w:rPr>
      </w:pPr>
    </w:p>
    <w:p w:rsidR="00833482" w:rsidRPr="0046545B" w:rsidRDefault="00833482" w:rsidP="00931FC8">
      <w:pPr>
        <w:autoSpaceDE w:val="0"/>
        <w:autoSpaceDN w:val="0"/>
        <w:adjustRightInd w:val="0"/>
        <w:spacing w:after="0" w:line="240" w:lineRule="auto"/>
        <w:ind w:left="5664"/>
        <w:rPr>
          <w:rFonts w:ascii="Bookman Old Style" w:hAnsi="Bookman Old Style" w:cs="Times New Roman"/>
          <w:b/>
          <w:bCs/>
        </w:rPr>
      </w:pPr>
    </w:p>
    <w:p w:rsidR="00E45D17" w:rsidRDefault="00E45D17" w:rsidP="00FD4CC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18"/>
          <w:szCs w:val="18"/>
        </w:rPr>
      </w:pPr>
    </w:p>
    <w:p w:rsidR="00931FC8" w:rsidRPr="0046545B" w:rsidRDefault="00931FC8" w:rsidP="00931FC8">
      <w:pPr>
        <w:autoSpaceDE w:val="0"/>
        <w:autoSpaceDN w:val="0"/>
        <w:adjustRightInd w:val="0"/>
        <w:spacing w:after="0" w:line="240" w:lineRule="auto"/>
        <w:ind w:left="5664"/>
        <w:rPr>
          <w:rFonts w:ascii="Bookman Old Style" w:hAnsi="Bookman Old Style" w:cs="Times New Roman"/>
          <w:b/>
          <w:bCs/>
          <w:sz w:val="18"/>
          <w:szCs w:val="18"/>
        </w:rPr>
      </w:pPr>
      <w:r w:rsidRPr="0046545B">
        <w:rPr>
          <w:rFonts w:ascii="Bookman Old Style" w:hAnsi="Bookman Old Style" w:cs="Times New Roman"/>
          <w:b/>
          <w:bCs/>
          <w:sz w:val="18"/>
          <w:szCs w:val="18"/>
        </w:rPr>
        <w:t>Załącznik nr 1</w:t>
      </w:r>
    </w:p>
    <w:p w:rsidR="00931FC8" w:rsidRPr="0046545B" w:rsidRDefault="00931FC8" w:rsidP="00931FC8">
      <w:pPr>
        <w:autoSpaceDE w:val="0"/>
        <w:autoSpaceDN w:val="0"/>
        <w:adjustRightInd w:val="0"/>
        <w:spacing w:after="0" w:line="240" w:lineRule="auto"/>
        <w:ind w:left="5664"/>
        <w:rPr>
          <w:rFonts w:ascii="Bookman Old Style" w:hAnsi="Bookman Old Style" w:cs="Times New Roman"/>
          <w:b/>
          <w:bCs/>
          <w:sz w:val="18"/>
          <w:szCs w:val="18"/>
        </w:rPr>
      </w:pPr>
      <w:r w:rsidRPr="0046545B">
        <w:rPr>
          <w:rFonts w:ascii="Bookman Old Style" w:hAnsi="Bookman Old Style" w:cs="Times New Roman"/>
          <w:b/>
          <w:bCs/>
          <w:sz w:val="18"/>
          <w:szCs w:val="18"/>
        </w:rPr>
        <w:t xml:space="preserve">do Uchwały Nr </w:t>
      </w:r>
    </w:p>
    <w:p w:rsidR="00931FC8" w:rsidRPr="0046545B" w:rsidRDefault="00931FC8" w:rsidP="00931FC8">
      <w:pPr>
        <w:autoSpaceDE w:val="0"/>
        <w:autoSpaceDN w:val="0"/>
        <w:adjustRightInd w:val="0"/>
        <w:spacing w:after="0" w:line="240" w:lineRule="auto"/>
        <w:ind w:left="5664"/>
        <w:rPr>
          <w:rFonts w:ascii="Bookman Old Style" w:hAnsi="Bookman Old Style" w:cs="Times New Roman"/>
          <w:b/>
          <w:bCs/>
          <w:sz w:val="18"/>
          <w:szCs w:val="18"/>
        </w:rPr>
      </w:pPr>
      <w:r w:rsidRPr="0046545B">
        <w:rPr>
          <w:rFonts w:ascii="Bookman Old Style" w:hAnsi="Bookman Old Style" w:cs="Times New Roman"/>
          <w:b/>
          <w:bCs/>
          <w:sz w:val="18"/>
          <w:szCs w:val="18"/>
        </w:rPr>
        <w:t>Rady Miejskiej w Złotym Stoku</w:t>
      </w:r>
    </w:p>
    <w:p w:rsidR="00931FC8" w:rsidRPr="0046545B" w:rsidRDefault="00931FC8" w:rsidP="00931FC8">
      <w:pPr>
        <w:autoSpaceDE w:val="0"/>
        <w:autoSpaceDN w:val="0"/>
        <w:adjustRightInd w:val="0"/>
        <w:spacing w:after="0" w:line="240" w:lineRule="auto"/>
        <w:ind w:left="5664"/>
        <w:rPr>
          <w:rFonts w:ascii="Bookman Old Style" w:hAnsi="Bookman Old Style" w:cs="Times New Roman"/>
          <w:b/>
          <w:bCs/>
          <w:sz w:val="18"/>
          <w:szCs w:val="18"/>
        </w:rPr>
      </w:pPr>
      <w:r w:rsidRPr="0046545B">
        <w:rPr>
          <w:rFonts w:ascii="Bookman Old Style" w:hAnsi="Bookman Old Style" w:cs="Times New Roman"/>
          <w:b/>
          <w:bCs/>
          <w:sz w:val="18"/>
          <w:szCs w:val="18"/>
        </w:rPr>
        <w:t xml:space="preserve">z dnia </w:t>
      </w:r>
    </w:p>
    <w:p w:rsidR="0046545B" w:rsidRDefault="0046545B" w:rsidP="00931FC8">
      <w:pPr>
        <w:autoSpaceDE w:val="0"/>
        <w:autoSpaceDN w:val="0"/>
        <w:adjustRightInd w:val="0"/>
        <w:spacing w:after="0" w:line="240" w:lineRule="auto"/>
        <w:ind w:left="5664"/>
        <w:rPr>
          <w:rFonts w:ascii="Bookman Old Style" w:hAnsi="Bookman Old Style" w:cs="Times New Roman"/>
          <w:b/>
          <w:bCs/>
        </w:rPr>
      </w:pPr>
    </w:p>
    <w:p w:rsidR="0046545B" w:rsidRPr="0046545B" w:rsidRDefault="0046545B" w:rsidP="00931FC8">
      <w:pPr>
        <w:autoSpaceDE w:val="0"/>
        <w:autoSpaceDN w:val="0"/>
        <w:adjustRightInd w:val="0"/>
        <w:spacing w:after="0" w:line="240" w:lineRule="auto"/>
        <w:ind w:left="5664"/>
        <w:rPr>
          <w:rFonts w:ascii="Bookman Old Style" w:hAnsi="Bookman Old Style" w:cs="Times New Roman"/>
          <w:b/>
          <w:bCs/>
        </w:rPr>
      </w:pPr>
    </w:p>
    <w:p w:rsidR="00442E0B" w:rsidRPr="00816A99" w:rsidRDefault="00442E0B" w:rsidP="00E45D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man Old Style" w:hAnsi="Bookman Old Style" w:cs="Times New Roman"/>
        </w:rPr>
      </w:pPr>
      <w:r w:rsidRPr="00816A99">
        <w:rPr>
          <w:rFonts w:ascii="Bookman Old Style" w:hAnsi="Bookman Old Style" w:cs="Times New Roman"/>
        </w:rPr>
        <w:t>Generalny Dyrektor Ochrony Środowiska pismem z 9 czerwca 2016 r. znak: DZP-WO.630.3.2016</w:t>
      </w:r>
      <w:r w:rsidR="00E01EFB">
        <w:rPr>
          <w:rFonts w:ascii="Bookman Old Style" w:hAnsi="Bookman Old Style" w:cs="Times New Roman"/>
        </w:rPr>
        <w:t>.</w:t>
      </w:r>
      <w:r w:rsidRPr="00816A99">
        <w:rPr>
          <w:rFonts w:ascii="Bookman Old Style" w:hAnsi="Bookman Old Style" w:cs="Times New Roman"/>
        </w:rPr>
        <w:t xml:space="preserve">CG, na podstawie art. 27 ust. 2 ustawy o ochronie przyrody przekazał do zaopiniowania listę obszarów mających znaczenie dla Wspólnoty </w:t>
      </w:r>
      <w:r w:rsidR="006601C3" w:rsidRPr="00816A99">
        <w:rPr>
          <w:rFonts w:ascii="Bookman Old Style" w:hAnsi="Bookman Old Style" w:cs="Times New Roman"/>
        </w:rPr>
        <w:t>oraz obszarów specjalnej ochrony ptaków, uwzględniającą korekty granic, które wynikają przede wszystkim z</w:t>
      </w:r>
      <w:r w:rsidR="008D682B">
        <w:rPr>
          <w:rFonts w:ascii="Bookman Old Style" w:hAnsi="Bookman Old Style" w:cs="Times New Roman"/>
        </w:rPr>
        <w:t>e</w:t>
      </w:r>
      <w:r w:rsidR="006601C3" w:rsidRPr="00816A99">
        <w:rPr>
          <w:rFonts w:ascii="Bookman Old Style" w:hAnsi="Bookman Old Style" w:cs="Times New Roman"/>
        </w:rPr>
        <w:t xml:space="preserve"> wskazań zawartych w planach zadań ochronnych i planach ochrony, </w:t>
      </w:r>
      <w:r w:rsidR="00816A99">
        <w:rPr>
          <w:rFonts w:ascii="Bookman Old Style" w:hAnsi="Bookman Old Style" w:cs="Times New Roman"/>
        </w:rPr>
        <w:t xml:space="preserve">tj. </w:t>
      </w:r>
      <w:r w:rsidR="006601C3" w:rsidRPr="00816A99">
        <w:rPr>
          <w:rFonts w:ascii="Bookman Old Style" w:hAnsi="Bookman Old Style" w:cs="Times New Roman"/>
        </w:rPr>
        <w:t>dokumentacji sporządzonej w ramach prac nad ww. planami lub uwag i</w:t>
      </w:r>
      <w:r w:rsidR="0046545B" w:rsidRPr="00816A99">
        <w:rPr>
          <w:rFonts w:ascii="Bookman Old Style" w:hAnsi="Bookman Old Style" w:cs="Times New Roman"/>
        </w:rPr>
        <w:t> </w:t>
      </w:r>
      <w:r w:rsidR="006601C3" w:rsidRPr="00816A99">
        <w:rPr>
          <w:rFonts w:ascii="Bookman Old Style" w:hAnsi="Bookman Old Style" w:cs="Times New Roman"/>
        </w:rPr>
        <w:t xml:space="preserve">wniosków zgłoszonych przez sprawujących nadzór nad obszarami Natura 2000. </w:t>
      </w:r>
    </w:p>
    <w:p w:rsidR="00D130A5" w:rsidRPr="00816A99" w:rsidRDefault="00D130A5" w:rsidP="00E45D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man Old Style" w:hAnsi="Bookman Old Style" w:cs="Times New Roman"/>
        </w:rPr>
      </w:pPr>
      <w:r w:rsidRPr="00816A99">
        <w:rPr>
          <w:rFonts w:ascii="Bookman Old Style" w:hAnsi="Bookman Old Style" w:cs="Times New Roman"/>
        </w:rPr>
        <w:t>Generalna Dyrekcja Ochrony Środowiska wraz z regionalnymi dyrekcjami ochrony środowiska opracowała plany zadań ochronnych i plany ochrony dla obszarów Natura 2000. Taki plan opracowany został również dla obszaru Kopaln</w:t>
      </w:r>
      <w:r w:rsidR="00E45D17">
        <w:rPr>
          <w:rFonts w:ascii="Bookman Old Style" w:hAnsi="Bookman Old Style" w:cs="Times New Roman"/>
        </w:rPr>
        <w:t>i</w:t>
      </w:r>
      <w:r w:rsidRPr="00816A99">
        <w:rPr>
          <w:rFonts w:ascii="Bookman Old Style" w:hAnsi="Bookman Old Style" w:cs="Times New Roman"/>
        </w:rPr>
        <w:t>e w</w:t>
      </w:r>
      <w:r w:rsidR="0046545B" w:rsidRPr="00816A99">
        <w:rPr>
          <w:rFonts w:ascii="Bookman Old Style" w:hAnsi="Bookman Old Style" w:cs="Times New Roman"/>
        </w:rPr>
        <w:t> </w:t>
      </w:r>
      <w:r w:rsidRPr="00816A99">
        <w:rPr>
          <w:rFonts w:ascii="Bookman Old Style" w:hAnsi="Bookman Old Style" w:cs="Times New Roman"/>
        </w:rPr>
        <w:t xml:space="preserve">Złotym Stoku PLH020007 na zlecenie Regionalnej Dyrekcji Ochrony Środowiska we Wrocławiu przez EKOZNAWCĘ IWONĘ GOTTFRIED w 2012 r. </w:t>
      </w:r>
    </w:p>
    <w:p w:rsidR="00FD4CC2" w:rsidRDefault="007B11CE" w:rsidP="00E45D17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 w:rsidRPr="00816A99">
        <w:rPr>
          <w:rFonts w:ascii="Bookman Old Style" w:hAnsi="Bookman Old Style"/>
        </w:rPr>
        <w:t>Autor opracowania informuje, że całość obszaru zajmuje powierzchnię</w:t>
      </w:r>
      <w:r w:rsidR="000551DA">
        <w:rPr>
          <w:rFonts w:ascii="Bookman Old Style" w:hAnsi="Bookman Old Style"/>
        </w:rPr>
        <w:t xml:space="preserve"> </w:t>
      </w:r>
      <w:r w:rsidRPr="00816A99">
        <w:rPr>
          <w:rFonts w:ascii="Bookman Old Style" w:hAnsi="Bookman Old Style"/>
        </w:rPr>
        <w:t>170,1</w:t>
      </w:r>
      <w:r w:rsidR="00FD4CC2">
        <w:rPr>
          <w:rFonts w:ascii="Bookman Old Style" w:hAnsi="Bookman Old Style"/>
        </w:rPr>
        <w:t> </w:t>
      </w:r>
      <w:r w:rsidRPr="00816A99">
        <w:rPr>
          <w:rFonts w:ascii="Bookman Old Style" w:hAnsi="Bookman Old Style"/>
        </w:rPr>
        <w:t>ha i obejmuje Złoty Jar łącznie z nieczynnym kamieniołomem i</w:t>
      </w:r>
      <w:r w:rsidR="00FD4CC2">
        <w:rPr>
          <w:rFonts w:ascii="Bookman Old Style" w:hAnsi="Bookman Old Style"/>
        </w:rPr>
        <w:t xml:space="preserve"> </w:t>
      </w:r>
      <w:r w:rsidRPr="00816A99">
        <w:rPr>
          <w:rFonts w:ascii="Bookman Old Style" w:hAnsi="Bookman Old Style"/>
        </w:rPr>
        <w:t xml:space="preserve">doliną potoku Trująca. Jest to tylko część dawnego terenu górniczego mającego wchodzić pierwotnie w skład Obszaru, który objąć miał wszystkie znane zimowiska </w:t>
      </w:r>
      <w:r w:rsidR="00816A99">
        <w:rPr>
          <w:rFonts w:ascii="Bookman Old Style" w:hAnsi="Bookman Old Style"/>
        </w:rPr>
        <w:t xml:space="preserve">nietoperzy </w:t>
      </w:r>
      <w:r w:rsidRPr="00816A99">
        <w:rPr>
          <w:rFonts w:ascii="Bookman Old Style" w:hAnsi="Bookman Old Style"/>
        </w:rPr>
        <w:t>zlokalizowane w 13 sztolniach stanowiących pozostałości po działalności górniczej. W aktualnych granicach znajduje się siedem obiektów, w których zimuje około połow</w:t>
      </w:r>
      <w:r w:rsidR="008840D9">
        <w:rPr>
          <w:rFonts w:ascii="Bookman Old Style" w:hAnsi="Bookman Old Style"/>
        </w:rPr>
        <w:t xml:space="preserve">a populacji </w:t>
      </w:r>
      <w:r w:rsidRPr="00816A99">
        <w:rPr>
          <w:rFonts w:ascii="Bookman Old Style" w:hAnsi="Bookman Old Style"/>
        </w:rPr>
        <w:t xml:space="preserve">nietoperzy. </w:t>
      </w:r>
      <w:r w:rsidRPr="00816A99">
        <w:rPr>
          <w:rFonts w:ascii="Bookman Old Style" w:hAnsi="Bookman Old Style"/>
          <w:u w:val="single"/>
        </w:rPr>
        <w:t>Pozostałe obiekty z powodu błędnie poprowadzonych granic zostały włączone do sąsiedniego Obszaru o znaczeniu dla Wspólnoty Góry Złote, w</w:t>
      </w:r>
      <w:r w:rsidR="000551DA">
        <w:rPr>
          <w:rFonts w:ascii="Bookman Old Style" w:hAnsi="Bookman Old Style"/>
          <w:u w:val="single"/>
        </w:rPr>
        <w:t> </w:t>
      </w:r>
      <w:r w:rsidRPr="00816A99">
        <w:rPr>
          <w:rFonts w:ascii="Bookman Old Style" w:hAnsi="Bookman Old Style"/>
          <w:u w:val="single"/>
        </w:rPr>
        <w:t>tym najważniejsze zimowisko w tym rejonie–</w:t>
      </w:r>
      <w:r w:rsidR="009D4A37">
        <w:rPr>
          <w:rFonts w:ascii="Bookman Old Style" w:hAnsi="Bookman Old Style"/>
          <w:u w:val="single"/>
        </w:rPr>
        <w:t xml:space="preserve"> </w:t>
      </w:r>
      <w:r w:rsidRPr="00816A99">
        <w:rPr>
          <w:rFonts w:ascii="Bookman Old Style" w:hAnsi="Bookman Old Style"/>
          <w:u w:val="single"/>
        </w:rPr>
        <w:t>sztolnia Barbara.</w:t>
      </w:r>
      <w:r w:rsidR="00206C3F" w:rsidRPr="00206C3F">
        <w:rPr>
          <w:rFonts w:ascii="Bookman Old Style" w:hAnsi="Bookman Old Style"/>
        </w:rPr>
        <w:t xml:space="preserve"> </w:t>
      </w:r>
      <w:r w:rsidRPr="00816A99">
        <w:rPr>
          <w:rFonts w:ascii="Bookman Old Style" w:hAnsi="Bookman Old Style"/>
        </w:rPr>
        <w:t>Obecnie dwie z</w:t>
      </w:r>
      <w:r w:rsidR="00FD4CC2">
        <w:rPr>
          <w:rFonts w:ascii="Bookman Old Style" w:hAnsi="Bookman Old Style"/>
        </w:rPr>
        <w:t xml:space="preserve"> </w:t>
      </w:r>
      <w:r w:rsidRPr="00816A99">
        <w:rPr>
          <w:rFonts w:ascii="Bookman Old Style" w:hAnsi="Bookman Old Style"/>
        </w:rPr>
        <w:t>siedmiu sztolni leżących w granicach Obszaru są zabezpieczone przed nielegalną penetracją w wyniku zaad</w:t>
      </w:r>
      <w:r w:rsidR="003B08FE">
        <w:rPr>
          <w:rFonts w:ascii="Bookman Old Style" w:hAnsi="Bookman Old Style"/>
        </w:rPr>
        <w:t>a</w:t>
      </w:r>
      <w:r w:rsidRPr="00816A99">
        <w:rPr>
          <w:rFonts w:ascii="Bookman Old Style" w:hAnsi="Bookman Old Style"/>
        </w:rPr>
        <w:t>ptowania ich na podziemne trasy turystyczne. Natomiast pozostałe obiekty są ogólnie dostępne, często zagrożone zniszczeniem. Znaczna część obszaru zajęta jest przez cenne siedliska przyrodnicze, które wykorzystywane są przez nietoperze jak</w:t>
      </w:r>
      <w:r w:rsidR="00816A99">
        <w:rPr>
          <w:rFonts w:ascii="Bookman Old Style" w:hAnsi="Bookman Old Style"/>
        </w:rPr>
        <w:t>o</w:t>
      </w:r>
      <w:r w:rsidRPr="00816A99">
        <w:rPr>
          <w:rFonts w:ascii="Bookman Old Style" w:hAnsi="Bookman Old Style"/>
        </w:rPr>
        <w:t xml:space="preserve"> żerowiska.</w:t>
      </w:r>
      <w:r w:rsidR="00206C3F">
        <w:rPr>
          <w:rFonts w:ascii="Bookman Old Style" w:hAnsi="Bookman Old Style"/>
        </w:rPr>
        <w:t xml:space="preserve"> </w:t>
      </w:r>
      <w:r w:rsidRPr="00816A99">
        <w:rPr>
          <w:rFonts w:ascii="Bookman Old Style" w:hAnsi="Bookman Old Style"/>
        </w:rPr>
        <w:t>Do Obszaru</w:t>
      </w:r>
      <w:r w:rsidR="00206C3F">
        <w:rPr>
          <w:rFonts w:ascii="Bookman Old Style" w:hAnsi="Bookman Old Style"/>
        </w:rPr>
        <w:t xml:space="preserve"> zaplanowano włączenie </w:t>
      </w:r>
      <w:r w:rsidRPr="00816A99">
        <w:rPr>
          <w:rFonts w:ascii="Bookman Old Style" w:hAnsi="Bookman Old Style"/>
        </w:rPr>
        <w:t xml:space="preserve">dwóch pozostałych pododdziałów z wydzielenia 186, które będąc przedłużeniem obszaru leśnego w kierunku północnym, stanowią dogodny korytarz migracyjny nietoperzy. Wydzielenie 186a jest również siedliskiem przyrodniczym kwaśnej buczyny. Dociągnięcie granic obszaru do istniejących granic działek </w:t>
      </w:r>
      <w:r w:rsidR="007E235E">
        <w:rPr>
          <w:rFonts w:ascii="Bookman Old Style" w:hAnsi="Bookman Old Style"/>
        </w:rPr>
        <w:t xml:space="preserve">znacznie </w:t>
      </w:r>
      <w:r w:rsidRPr="00816A99">
        <w:rPr>
          <w:rFonts w:ascii="Bookman Old Style" w:hAnsi="Bookman Old Style"/>
        </w:rPr>
        <w:t xml:space="preserve">ułatwi zaplanowanie i wykonanie właściwych działań ochronnych poprzez ułatwienie lokalizacji w terenie i rozmaitych dokumentach planistycznych granic </w:t>
      </w:r>
      <w:r w:rsidRPr="00816A99">
        <w:rPr>
          <w:rFonts w:ascii="Bookman Old Style" w:hAnsi="Bookman Old Style"/>
        </w:rPr>
        <w:lastRenderedPageBreak/>
        <w:t>powierzchni realizacji docelowych działań. Szczególnie może to być ważne dla jednostek samorządowych i zarządców gruntów zobligowanych do realizacji wskazanych działań ochronnych, jak również dla organów nadzorujących ich przebieg i</w:t>
      </w:r>
      <w:r w:rsidR="00FD4CC2">
        <w:rPr>
          <w:rFonts w:ascii="Bookman Old Style" w:hAnsi="Bookman Old Style"/>
        </w:rPr>
        <w:t xml:space="preserve"> </w:t>
      </w:r>
      <w:r w:rsidRPr="00816A99">
        <w:rPr>
          <w:rFonts w:ascii="Bookman Old Style" w:hAnsi="Bookman Old Style"/>
        </w:rPr>
        <w:t>efekty.</w:t>
      </w:r>
      <w:r w:rsidR="00EC1ED0">
        <w:rPr>
          <w:rFonts w:ascii="Bookman Old Style" w:hAnsi="Bookman Old Style"/>
        </w:rPr>
        <w:t xml:space="preserve"> </w:t>
      </w:r>
    </w:p>
    <w:p w:rsidR="007B11CE" w:rsidRDefault="00EC1ED0" w:rsidP="00E45D17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dalszej części autor opracowania stwierdza, że zagrożeniem dla populacji nietoperzy może być </w:t>
      </w:r>
      <w:r w:rsidR="00106733">
        <w:rPr>
          <w:rFonts w:ascii="Bookman Old Style" w:hAnsi="Bookman Old Style"/>
        </w:rPr>
        <w:t>infrastruktura turystyczna, sporty i inne formy aktywnego wypoczynku, parkingi, linie energetyczne, infrastruktura drogowa. W</w:t>
      </w:r>
      <w:r w:rsidR="00FD4CC2">
        <w:rPr>
          <w:rFonts w:ascii="Bookman Old Style" w:hAnsi="Bookman Old Style"/>
        </w:rPr>
        <w:t xml:space="preserve"> </w:t>
      </w:r>
      <w:r w:rsidR="00106733">
        <w:rPr>
          <w:rFonts w:ascii="Bookman Old Style" w:hAnsi="Bookman Old Style"/>
        </w:rPr>
        <w:t>opracowaniu przedstawiono również korytarze ekologiczne zapewniające łączność z</w:t>
      </w:r>
      <w:r w:rsidR="00FD4CC2">
        <w:rPr>
          <w:rFonts w:ascii="Bookman Old Style" w:hAnsi="Bookman Old Style"/>
        </w:rPr>
        <w:t xml:space="preserve"> </w:t>
      </w:r>
      <w:r w:rsidR="00106733">
        <w:rPr>
          <w:rFonts w:ascii="Bookman Old Style" w:hAnsi="Bookman Old Style"/>
        </w:rPr>
        <w:t>sąsiednimi obszarami.</w:t>
      </w:r>
    </w:p>
    <w:p w:rsidR="000551DA" w:rsidRDefault="000551DA" w:rsidP="00E45D17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Podstawą negatywnej opinii jest:</w:t>
      </w:r>
      <w:r w:rsidR="00106733">
        <w:rPr>
          <w:rFonts w:ascii="Bookman Old Style" w:hAnsi="Bookman Old Style" w:cs="Times New Roman"/>
        </w:rPr>
        <w:tab/>
      </w:r>
    </w:p>
    <w:p w:rsidR="001C2DC5" w:rsidRPr="00FD4CC2" w:rsidRDefault="000551DA" w:rsidP="00FD4C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</w:rPr>
      </w:pPr>
      <w:r w:rsidRPr="00FD4CC2">
        <w:rPr>
          <w:rFonts w:ascii="Bookman Old Style" w:hAnsi="Bookman Old Style" w:cs="Times New Roman"/>
        </w:rPr>
        <w:t>otwarcie w</w:t>
      </w:r>
      <w:r w:rsidR="00182219" w:rsidRPr="00FD4CC2">
        <w:rPr>
          <w:rFonts w:ascii="Bookman Old Style" w:hAnsi="Bookman Old Style" w:cs="Times New Roman"/>
        </w:rPr>
        <w:t xml:space="preserve"> 2013 roku Średniowieczn</w:t>
      </w:r>
      <w:r w:rsidRPr="00FD4CC2">
        <w:rPr>
          <w:rFonts w:ascii="Bookman Old Style" w:hAnsi="Bookman Old Style" w:cs="Times New Roman"/>
        </w:rPr>
        <w:t>ego</w:t>
      </w:r>
      <w:r w:rsidR="00182219" w:rsidRPr="00FD4CC2">
        <w:rPr>
          <w:rFonts w:ascii="Bookman Old Style" w:hAnsi="Bookman Old Style" w:cs="Times New Roman"/>
        </w:rPr>
        <w:t xml:space="preserve"> Park</w:t>
      </w:r>
      <w:r w:rsidRPr="00FD4CC2">
        <w:rPr>
          <w:rFonts w:ascii="Bookman Old Style" w:hAnsi="Bookman Old Style" w:cs="Times New Roman"/>
        </w:rPr>
        <w:t>u</w:t>
      </w:r>
      <w:r w:rsidR="00182219" w:rsidRPr="00FD4CC2">
        <w:rPr>
          <w:rFonts w:ascii="Bookman Old Style" w:hAnsi="Bookman Old Style" w:cs="Times New Roman"/>
        </w:rPr>
        <w:t xml:space="preserve"> Techniki w Złotym Stoku, który bezpośrednio przylega do terenu, który ma zostać wł</w:t>
      </w:r>
      <w:r w:rsidR="009663C9" w:rsidRPr="00FD4CC2">
        <w:rPr>
          <w:rFonts w:ascii="Bookman Old Style" w:hAnsi="Bookman Old Style" w:cs="Times New Roman"/>
        </w:rPr>
        <w:t>ą</w:t>
      </w:r>
      <w:r w:rsidR="00182219" w:rsidRPr="00FD4CC2">
        <w:rPr>
          <w:rFonts w:ascii="Bookman Old Style" w:hAnsi="Bookman Old Style" w:cs="Times New Roman"/>
        </w:rPr>
        <w:t>czony do obszaru Natura 2000 Kopalnie w Złotym Stoku</w:t>
      </w:r>
      <w:r w:rsidR="009663C9" w:rsidRPr="00FD4CC2">
        <w:rPr>
          <w:rFonts w:ascii="Bookman Old Style" w:hAnsi="Bookman Old Style" w:cs="Times New Roman"/>
        </w:rPr>
        <w:t>. Park Techniki jest jedynym tego typy parkiem rozrywki w</w:t>
      </w:r>
      <w:r w:rsidR="00FD4CC2">
        <w:rPr>
          <w:rFonts w:ascii="Bookman Old Style" w:hAnsi="Bookman Old Style" w:cs="Times New Roman"/>
        </w:rPr>
        <w:t xml:space="preserve"> </w:t>
      </w:r>
      <w:r w:rsidR="009663C9" w:rsidRPr="00FD4CC2">
        <w:rPr>
          <w:rFonts w:ascii="Bookman Old Style" w:hAnsi="Bookman Old Style" w:cs="Times New Roman"/>
        </w:rPr>
        <w:t xml:space="preserve">Polsce, przyciąga rocznie kilkaset tysięcy turystów. Zwiedzający park penetrują również teren leśny, który planowany jest </w:t>
      </w:r>
      <w:r w:rsidRPr="00FD4CC2">
        <w:rPr>
          <w:rFonts w:ascii="Bookman Old Style" w:hAnsi="Bookman Old Style" w:cs="Times New Roman"/>
        </w:rPr>
        <w:t>do włączenia do obszaru Natura 2000;</w:t>
      </w:r>
      <w:r w:rsidR="009663C9" w:rsidRPr="00FD4CC2">
        <w:rPr>
          <w:rFonts w:ascii="Bookman Old Style" w:hAnsi="Bookman Old Style" w:cs="Times New Roman"/>
        </w:rPr>
        <w:t xml:space="preserve"> </w:t>
      </w:r>
    </w:p>
    <w:p w:rsidR="000551DA" w:rsidRPr="000551DA" w:rsidRDefault="007E235E" w:rsidP="00E45D1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</w:t>
      </w:r>
      <w:r w:rsidR="009663C9" w:rsidRPr="000551DA">
        <w:rPr>
          <w:rFonts w:ascii="Bookman Old Style" w:hAnsi="Bookman Old Style" w:cs="Times New Roman"/>
        </w:rPr>
        <w:t>owsta</w:t>
      </w:r>
      <w:r>
        <w:rPr>
          <w:rFonts w:ascii="Bookman Old Style" w:hAnsi="Bookman Old Style" w:cs="Times New Roman"/>
        </w:rPr>
        <w:t xml:space="preserve">nie </w:t>
      </w:r>
      <w:r w:rsidR="009663C9" w:rsidRPr="000551DA">
        <w:rPr>
          <w:rFonts w:ascii="Bookman Old Style" w:hAnsi="Bookman Old Style" w:cs="Times New Roman"/>
        </w:rPr>
        <w:t>parking</w:t>
      </w:r>
      <w:r>
        <w:rPr>
          <w:rFonts w:ascii="Bookman Old Style" w:hAnsi="Bookman Old Style" w:cs="Times New Roman"/>
        </w:rPr>
        <w:t>u</w:t>
      </w:r>
      <w:r w:rsidR="009663C9" w:rsidRPr="000551DA">
        <w:rPr>
          <w:rFonts w:ascii="Bookman Old Style" w:hAnsi="Bookman Old Style" w:cs="Times New Roman"/>
        </w:rPr>
        <w:t xml:space="preserve"> dla s</w:t>
      </w:r>
      <w:r w:rsidR="001C2DC5">
        <w:rPr>
          <w:rFonts w:ascii="Bookman Old Style" w:hAnsi="Bookman Old Style" w:cs="Times New Roman"/>
        </w:rPr>
        <w:t>amochodów</w:t>
      </w:r>
      <w:r>
        <w:rPr>
          <w:rFonts w:ascii="Bookman Old Style" w:hAnsi="Bookman Old Style" w:cs="Times New Roman"/>
        </w:rPr>
        <w:t xml:space="preserve"> przy parku techniki</w:t>
      </w:r>
      <w:r w:rsidR="001C2DC5">
        <w:rPr>
          <w:rFonts w:ascii="Bookman Old Style" w:hAnsi="Bookman Old Style" w:cs="Times New Roman"/>
        </w:rPr>
        <w:t>;</w:t>
      </w:r>
      <w:r w:rsidR="009663C9" w:rsidRPr="000551DA">
        <w:rPr>
          <w:rFonts w:ascii="Bookman Old Style" w:hAnsi="Bookman Old Style" w:cs="Times New Roman"/>
        </w:rPr>
        <w:t xml:space="preserve"> </w:t>
      </w:r>
    </w:p>
    <w:p w:rsidR="00816A99" w:rsidRDefault="007E235E" w:rsidP="00E45D1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planowany do zagospodarowania teren </w:t>
      </w:r>
      <w:r w:rsidR="000551DA">
        <w:rPr>
          <w:rFonts w:ascii="Bookman Old Style" w:hAnsi="Bookman Old Style" w:cs="Times New Roman"/>
        </w:rPr>
        <w:t>o</w:t>
      </w:r>
      <w:r w:rsidR="009663C9" w:rsidRPr="000551DA">
        <w:rPr>
          <w:rFonts w:ascii="Bookman Old Style" w:hAnsi="Bookman Old Style" w:cs="Times New Roman"/>
        </w:rPr>
        <w:t>d strony wschodniej</w:t>
      </w:r>
      <w:r w:rsidR="000551DA">
        <w:rPr>
          <w:rFonts w:ascii="Bookman Old Style" w:hAnsi="Bookman Old Style" w:cs="Times New Roman"/>
        </w:rPr>
        <w:t xml:space="preserve"> przedmiotowego </w:t>
      </w:r>
      <w:r>
        <w:rPr>
          <w:rFonts w:ascii="Bookman Old Style" w:hAnsi="Bookman Old Style" w:cs="Times New Roman"/>
        </w:rPr>
        <w:t xml:space="preserve">obszaru tj. </w:t>
      </w:r>
      <w:r w:rsidR="009663C9" w:rsidRPr="000551DA">
        <w:rPr>
          <w:rFonts w:ascii="Bookman Old Style" w:hAnsi="Bookman Old Style" w:cs="Times New Roman"/>
        </w:rPr>
        <w:t>„Wiśniow</w:t>
      </w:r>
      <w:r w:rsidR="000551DA">
        <w:rPr>
          <w:rFonts w:ascii="Bookman Old Style" w:hAnsi="Bookman Old Style" w:cs="Times New Roman"/>
        </w:rPr>
        <w:t>y</w:t>
      </w:r>
      <w:r w:rsidR="009663C9" w:rsidRPr="000551DA">
        <w:rPr>
          <w:rFonts w:ascii="Bookman Old Style" w:hAnsi="Bookman Old Style" w:cs="Times New Roman"/>
        </w:rPr>
        <w:t xml:space="preserve"> sad”</w:t>
      </w:r>
      <w:r w:rsidR="000551DA">
        <w:rPr>
          <w:rFonts w:ascii="Bookman Old Style" w:hAnsi="Bookman Old Style" w:cs="Times New Roman"/>
        </w:rPr>
        <w:t>, który</w:t>
      </w:r>
      <w:r w:rsidR="009663C9" w:rsidRPr="000551DA">
        <w:rPr>
          <w:rFonts w:ascii="Bookman Old Style" w:hAnsi="Bookman Old Style" w:cs="Times New Roman"/>
        </w:rPr>
        <w:t xml:space="preserve"> zgodnie z miejscowym planem zagospodarowania przestrzennego przeznaczony jest pod usługi turystyczne- należy liczyć się z zabudową tego terenu i zwiększoną </w:t>
      </w:r>
      <w:r w:rsidR="001C2DC5">
        <w:rPr>
          <w:rFonts w:ascii="Bookman Old Style" w:hAnsi="Bookman Old Style" w:cs="Times New Roman"/>
        </w:rPr>
        <w:t>formą aktywnego wypoczynku;</w:t>
      </w:r>
      <w:r w:rsidR="006B0398" w:rsidRPr="000551DA">
        <w:rPr>
          <w:rFonts w:ascii="Bookman Old Style" w:hAnsi="Bookman Old Style" w:cs="Times New Roman"/>
        </w:rPr>
        <w:t xml:space="preserve"> </w:t>
      </w:r>
    </w:p>
    <w:p w:rsidR="000551DA" w:rsidRDefault="007E235E" w:rsidP="00E45D1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obiekt rekreacyjno- wypoczynkowy </w:t>
      </w:r>
      <w:r w:rsidR="00702A77">
        <w:rPr>
          <w:rFonts w:ascii="Bookman Old Style" w:hAnsi="Bookman Old Style" w:cs="Times New Roman"/>
        </w:rPr>
        <w:t>„</w:t>
      </w:r>
      <w:proofErr w:type="spellStart"/>
      <w:r w:rsidR="00702A77">
        <w:rPr>
          <w:rFonts w:ascii="Bookman Old Style" w:hAnsi="Bookman Old Style" w:cs="Times New Roman"/>
        </w:rPr>
        <w:t>Bajcerówk</w:t>
      </w:r>
      <w:r>
        <w:rPr>
          <w:rFonts w:ascii="Bookman Old Style" w:hAnsi="Bookman Old Style" w:cs="Times New Roman"/>
        </w:rPr>
        <w:t>a</w:t>
      </w:r>
      <w:proofErr w:type="spellEnd"/>
      <w:r w:rsidR="00702A77">
        <w:rPr>
          <w:rFonts w:ascii="Bookman Old Style" w:hAnsi="Bookman Old Style" w:cs="Times New Roman"/>
        </w:rPr>
        <w:t>”</w:t>
      </w:r>
      <w:r>
        <w:rPr>
          <w:rFonts w:ascii="Bookman Old Style" w:hAnsi="Bookman Old Style" w:cs="Times New Roman"/>
        </w:rPr>
        <w:t xml:space="preserve"> od strony północnej omawianego terenu</w:t>
      </w:r>
      <w:r w:rsidR="00702A77">
        <w:rPr>
          <w:rFonts w:ascii="Bookman Old Style" w:hAnsi="Bookman Old Style" w:cs="Times New Roman"/>
        </w:rPr>
        <w:t>, któr</w:t>
      </w:r>
      <w:r>
        <w:rPr>
          <w:rFonts w:ascii="Bookman Old Style" w:hAnsi="Bookman Old Style" w:cs="Times New Roman"/>
        </w:rPr>
        <w:t>y</w:t>
      </w:r>
      <w:r w:rsidR="00702A77">
        <w:rPr>
          <w:rFonts w:ascii="Bookman Old Style" w:hAnsi="Bookman Old Style" w:cs="Times New Roman"/>
        </w:rPr>
        <w:t xml:space="preserve"> nowy właściciel z</w:t>
      </w:r>
      <w:r w:rsidR="001C2DC5">
        <w:rPr>
          <w:rFonts w:ascii="Bookman Old Style" w:hAnsi="Bookman Old Style" w:cs="Times New Roman"/>
        </w:rPr>
        <w:t>amierza udostępnić dla turystów;</w:t>
      </w:r>
    </w:p>
    <w:p w:rsidR="008305DD" w:rsidRDefault="007E235E" w:rsidP="00E45D1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</w:rPr>
      </w:pPr>
      <w:r w:rsidRPr="007E235E">
        <w:rPr>
          <w:rFonts w:ascii="Bookman Old Style" w:hAnsi="Bookman Old Style" w:cs="Times New Roman"/>
        </w:rPr>
        <w:t xml:space="preserve">budowa obwodnicy </w:t>
      </w:r>
      <w:r w:rsidR="00702A77" w:rsidRPr="007E235E">
        <w:rPr>
          <w:rFonts w:ascii="Bookman Old Style" w:hAnsi="Bookman Old Style" w:cs="Times New Roman"/>
        </w:rPr>
        <w:t xml:space="preserve">w odległości ok. 1,8 km od omawianego </w:t>
      </w:r>
      <w:r w:rsidR="008305DD">
        <w:rPr>
          <w:rFonts w:ascii="Bookman Old Style" w:hAnsi="Bookman Old Style" w:cs="Times New Roman"/>
        </w:rPr>
        <w:t>obszaru;</w:t>
      </w:r>
    </w:p>
    <w:p w:rsidR="008305DD" w:rsidRDefault="008305DD" w:rsidP="00E45D1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planowana ścieżka rowerowa na omawianym obszarze łącząca miasto z ww. atrakcjami turystycznymi;</w:t>
      </w:r>
    </w:p>
    <w:p w:rsidR="008305DD" w:rsidRDefault="008305DD" w:rsidP="00E45D1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połączenie wapienników ze ścieżką Marianny Orańskiej;</w:t>
      </w:r>
    </w:p>
    <w:p w:rsidR="007E235E" w:rsidRPr="007E235E" w:rsidRDefault="008305DD" w:rsidP="00E45D1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eksploracja sztolni na przedmiotowym obszarze.</w:t>
      </w:r>
    </w:p>
    <w:p w:rsidR="00702A77" w:rsidRDefault="00702A77" w:rsidP="00E45D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Z</w:t>
      </w:r>
      <w:r w:rsidR="006B0398">
        <w:rPr>
          <w:rFonts w:ascii="Bookman Old Style" w:hAnsi="Bookman Old Style" w:cs="Times New Roman"/>
        </w:rPr>
        <w:t xml:space="preserve"> uwagi na powyższe</w:t>
      </w:r>
      <w:r>
        <w:rPr>
          <w:rFonts w:ascii="Bookman Old Style" w:hAnsi="Bookman Old Style" w:cs="Times New Roman"/>
        </w:rPr>
        <w:t xml:space="preserve">, a w szczególności: ze względu na powstałą infrastrukturę turystyczną, wzmożony ruch turystyczny, planowaną budowę obwodnicy, powstały parking oraz dalszy rozwój turystyczny- </w:t>
      </w:r>
      <w:r w:rsidR="006B0398">
        <w:rPr>
          <w:rFonts w:ascii="Bookman Old Style" w:hAnsi="Bookman Old Style" w:cs="Times New Roman"/>
        </w:rPr>
        <w:t xml:space="preserve">zmiana granic obszaru Natura 2000 w kierunku północnym jest zagrożeniem dla nietoperzy. </w:t>
      </w:r>
    </w:p>
    <w:p w:rsidR="00FD4CC2" w:rsidRDefault="00702A77" w:rsidP="00FD4C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</w:rPr>
        <w:t xml:space="preserve">Korekta granic obszaru Natura 2000 </w:t>
      </w:r>
      <w:r w:rsidR="001C2DC5">
        <w:rPr>
          <w:rFonts w:ascii="Bookman Old Style" w:hAnsi="Bookman Old Style" w:cs="Times New Roman"/>
        </w:rPr>
        <w:t>K</w:t>
      </w:r>
      <w:r>
        <w:rPr>
          <w:rFonts w:ascii="Bookman Old Style" w:hAnsi="Bookman Old Style" w:cs="Times New Roman"/>
        </w:rPr>
        <w:t xml:space="preserve">opalnie w Złotym Stoku </w:t>
      </w:r>
      <w:r w:rsidRPr="0046545B">
        <w:rPr>
          <w:rFonts w:ascii="Bookman Old Style" w:hAnsi="Bookman Old Style" w:cs="Times New Roman"/>
          <w:bCs/>
        </w:rPr>
        <w:t xml:space="preserve">PLH020007 </w:t>
      </w:r>
      <w:r>
        <w:rPr>
          <w:rFonts w:ascii="Bookman Old Style" w:hAnsi="Bookman Old Style" w:cs="Times New Roman"/>
          <w:bCs/>
        </w:rPr>
        <w:t xml:space="preserve">powinna uwzględniać włączenie do obszaru wszystkich obiektów, w których zimują nietoperze, w tym sztolni Barbara, który błędnie </w:t>
      </w:r>
      <w:r w:rsidR="00E45D17">
        <w:rPr>
          <w:rFonts w:ascii="Bookman Old Style" w:hAnsi="Bookman Old Style" w:cs="Times New Roman"/>
          <w:bCs/>
        </w:rPr>
        <w:t xml:space="preserve">włączono do obszaru Góry Złote. </w:t>
      </w:r>
    </w:p>
    <w:p w:rsidR="006B0398" w:rsidRDefault="00E45D17" w:rsidP="00FD4CC2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Cs/>
        </w:rPr>
        <w:lastRenderedPageBreak/>
        <w:t>Skoro popełniono błąd p</w:t>
      </w:r>
      <w:r w:rsidR="00FD4CC2">
        <w:rPr>
          <w:rFonts w:ascii="Bookman Old Style" w:hAnsi="Bookman Old Style" w:cs="Times New Roman"/>
          <w:bCs/>
        </w:rPr>
        <w:t>rzy wyznaczaniu obszaru Natura-</w:t>
      </w:r>
      <w:r w:rsidR="007245F8">
        <w:rPr>
          <w:rFonts w:ascii="Bookman Old Style" w:hAnsi="Bookman Old Style" w:cs="Times New Roman"/>
          <w:bCs/>
        </w:rPr>
        <w:t xml:space="preserve"> </w:t>
      </w:r>
      <w:bookmarkStart w:id="0" w:name="_GoBack"/>
      <w:bookmarkEnd w:id="0"/>
      <w:r>
        <w:rPr>
          <w:rFonts w:ascii="Bookman Old Style" w:hAnsi="Bookman Old Style" w:cs="Times New Roman"/>
          <w:bCs/>
        </w:rPr>
        <w:t>Góry Złote i Kopalnie w</w:t>
      </w:r>
      <w:r w:rsidR="001C2DC5">
        <w:rPr>
          <w:rFonts w:ascii="Bookman Old Style" w:hAnsi="Bookman Old Style" w:cs="Times New Roman"/>
          <w:bCs/>
        </w:rPr>
        <w:t> </w:t>
      </w:r>
      <w:r>
        <w:rPr>
          <w:rFonts w:ascii="Bookman Old Style" w:hAnsi="Bookman Old Style" w:cs="Times New Roman"/>
          <w:bCs/>
        </w:rPr>
        <w:t xml:space="preserve">Złotym Stoku należy go naprawić, a nie powiększać go o obszar, który </w:t>
      </w:r>
      <w:r>
        <w:rPr>
          <w:rFonts w:ascii="Bookman Old Style" w:hAnsi="Bookman Old Style" w:cs="Times New Roman"/>
        </w:rPr>
        <w:t>z uwagi na zabudowę turystyczną, aktywny w</w:t>
      </w:r>
      <w:r w:rsidR="00FD4CC2">
        <w:rPr>
          <w:rFonts w:ascii="Bookman Old Style" w:hAnsi="Bookman Old Style" w:cs="Times New Roman"/>
        </w:rPr>
        <w:t>ypoczynek, planowaną obwodnic</w:t>
      </w:r>
      <w:r w:rsidR="008D682B">
        <w:rPr>
          <w:rFonts w:ascii="Bookman Old Style" w:hAnsi="Bookman Old Style" w:cs="Times New Roman"/>
        </w:rPr>
        <w:t>ę</w:t>
      </w:r>
      <w:r w:rsidR="00FD4CC2">
        <w:rPr>
          <w:rFonts w:ascii="Bookman Old Style" w:hAnsi="Bookman Old Style" w:cs="Times New Roman"/>
        </w:rPr>
        <w:t>-</w:t>
      </w:r>
      <w:r>
        <w:rPr>
          <w:rFonts w:ascii="Bookman Old Style" w:hAnsi="Bookman Old Style" w:cs="Times New Roman"/>
          <w:bCs/>
        </w:rPr>
        <w:t xml:space="preserve">będzie dla nietoperzy zagrożeniem. </w:t>
      </w:r>
    </w:p>
    <w:p w:rsidR="00442E0B" w:rsidRPr="0046545B" w:rsidRDefault="00442E0B" w:rsidP="00E45D17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</w:rPr>
      </w:pPr>
    </w:p>
    <w:sectPr w:rsidR="00442E0B" w:rsidRPr="0046545B" w:rsidSect="008305D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EAE"/>
    <w:multiLevelType w:val="hybridMultilevel"/>
    <w:tmpl w:val="1E96DE8E"/>
    <w:lvl w:ilvl="0" w:tplc="703C2B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25481C"/>
    <w:multiLevelType w:val="hybridMultilevel"/>
    <w:tmpl w:val="F2125D34"/>
    <w:lvl w:ilvl="0" w:tplc="2318BDDC">
      <w:start w:val="1"/>
      <w:numFmt w:val="decimal"/>
      <w:lvlText w:val="%1)"/>
      <w:lvlJc w:val="left"/>
      <w:pPr>
        <w:ind w:left="720" w:hanging="360"/>
      </w:pPr>
      <w:rPr>
        <w:rFonts w:ascii="Bookman Old Style" w:eastAsiaTheme="minorHAnsi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AE"/>
    <w:rsid w:val="000551DA"/>
    <w:rsid w:val="00106733"/>
    <w:rsid w:val="00122832"/>
    <w:rsid w:val="00182219"/>
    <w:rsid w:val="001C2DC5"/>
    <w:rsid w:val="00206C3F"/>
    <w:rsid w:val="0038391D"/>
    <w:rsid w:val="003B08FE"/>
    <w:rsid w:val="00442E0B"/>
    <w:rsid w:val="0046545B"/>
    <w:rsid w:val="00580D3B"/>
    <w:rsid w:val="006138B6"/>
    <w:rsid w:val="00643001"/>
    <w:rsid w:val="006601C3"/>
    <w:rsid w:val="00667EA2"/>
    <w:rsid w:val="006B0398"/>
    <w:rsid w:val="006D1FAE"/>
    <w:rsid w:val="00702A77"/>
    <w:rsid w:val="007245F8"/>
    <w:rsid w:val="00766BDA"/>
    <w:rsid w:val="00797A1F"/>
    <w:rsid w:val="007B11CE"/>
    <w:rsid w:val="007E235E"/>
    <w:rsid w:val="00816A99"/>
    <w:rsid w:val="008305DD"/>
    <w:rsid w:val="00833482"/>
    <w:rsid w:val="008840D9"/>
    <w:rsid w:val="008D682B"/>
    <w:rsid w:val="00914290"/>
    <w:rsid w:val="00931FC8"/>
    <w:rsid w:val="009663C9"/>
    <w:rsid w:val="00982ECD"/>
    <w:rsid w:val="009D4A37"/>
    <w:rsid w:val="009E4A5A"/>
    <w:rsid w:val="009F27BD"/>
    <w:rsid w:val="00A421CB"/>
    <w:rsid w:val="00BD27B9"/>
    <w:rsid w:val="00D130A5"/>
    <w:rsid w:val="00D75F8B"/>
    <w:rsid w:val="00DE68D3"/>
    <w:rsid w:val="00E01EFB"/>
    <w:rsid w:val="00E3120D"/>
    <w:rsid w:val="00E45D17"/>
    <w:rsid w:val="00E578AF"/>
    <w:rsid w:val="00EC1ED0"/>
    <w:rsid w:val="00F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12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120D"/>
  </w:style>
  <w:style w:type="paragraph" w:styleId="Akapitzlist">
    <w:name w:val="List Paragraph"/>
    <w:basedOn w:val="Normalny"/>
    <w:uiPriority w:val="34"/>
    <w:qFormat/>
    <w:rsid w:val="00982ECD"/>
    <w:pPr>
      <w:ind w:left="720"/>
      <w:contextualSpacing/>
    </w:pPr>
  </w:style>
  <w:style w:type="paragraph" w:customStyle="1" w:styleId="Default">
    <w:name w:val="Default"/>
    <w:rsid w:val="00122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12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120D"/>
  </w:style>
  <w:style w:type="paragraph" w:styleId="Akapitzlist">
    <w:name w:val="List Paragraph"/>
    <w:basedOn w:val="Normalny"/>
    <w:uiPriority w:val="34"/>
    <w:qFormat/>
    <w:rsid w:val="00982ECD"/>
    <w:pPr>
      <w:ind w:left="720"/>
      <w:contextualSpacing/>
    </w:pPr>
  </w:style>
  <w:style w:type="paragraph" w:customStyle="1" w:styleId="Default">
    <w:name w:val="Default"/>
    <w:rsid w:val="00122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E6585-4509-4BAA-BD77-F2E0DB7F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skg</dc:creator>
  <cp:lastModifiedBy>skg</cp:lastModifiedBy>
  <cp:revision>10</cp:revision>
  <cp:lastPrinted>2016-06-29T05:31:00Z</cp:lastPrinted>
  <dcterms:created xsi:type="dcterms:W3CDTF">2016-06-28T08:36:00Z</dcterms:created>
  <dcterms:modified xsi:type="dcterms:W3CDTF">2016-06-29T05:38:00Z</dcterms:modified>
</cp:coreProperties>
</file>